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6CD" w:rsidRDefault="006906C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906CD" w:rsidRDefault="006906CD">
      <w:pPr>
        <w:pStyle w:val="ConsPlusNormal"/>
        <w:jc w:val="both"/>
        <w:outlineLvl w:val="0"/>
      </w:pPr>
    </w:p>
    <w:p w:rsidR="006906CD" w:rsidRDefault="006906CD">
      <w:pPr>
        <w:pStyle w:val="ConsPlusTitle"/>
        <w:jc w:val="center"/>
        <w:outlineLvl w:val="0"/>
      </w:pPr>
      <w:r>
        <w:t>АДМИНИСТРАЦИЯ ГОРОДА ПЕРМИ</w:t>
      </w:r>
    </w:p>
    <w:p w:rsidR="006906CD" w:rsidRDefault="006906CD">
      <w:pPr>
        <w:pStyle w:val="ConsPlusTitle"/>
        <w:jc w:val="both"/>
      </w:pPr>
    </w:p>
    <w:p w:rsidR="006906CD" w:rsidRDefault="006906CD">
      <w:pPr>
        <w:pStyle w:val="ConsPlusTitle"/>
        <w:jc w:val="center"/>
      </w:pPr>
      <w:r>
        <w:t>ПОСТАНОВЛЕНИЕ</w:t>
      </w:r>
    </w:p>
    <w:p w:rsidR="006906CD" w:rsidRDefault="006906CD">
      <w:pPr>
        <w:pStyle w:val="ConsPlusTitle"/>
        <w:jc w:val="center"/>
      </w:pPr>
      <w:r>
        <w:t>от 25 апреля 2024 г. N 323</w:t>
      </w:r>
    </w:p>
    <w:p w:rsidR="006906CD" w:rsidRDefault="006906CD">
      <w:pPr>
        <w:pStyle w:val="ConsPlusTitle"/>
        <w:jc w:val="both"/>
      </w:pPr>
    </w:p>
    <w:p w:rsidR="006906CD" w:rsidRDefault="006906CD">
      <w:pPr>
        <w:pStyle w:val="ConsPlusTitle"/>
        <w:jc w:val="center"/>
      </w:pPr>
      <w:r>
        <w:t>О ВНЕСЕНИИ ИЗМЕНЕНИЙ В МУНИЦИПАЛЬНУЮ ПРОГРАММУ</w:t>
      </w:r>
    </w:p>
    <w:p w:rsidR="006906CD" w:rsidRDefault="006906CD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6906CD" w:rsidRDefault="006906C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6906CD" w:rsidRDefault="006906CD">
      <w:pPr>
        <w:pStyle w:val="ConsPlusTitle"/>
        <w:jc w:val="center"/>
      </w:pPr>
      <w:r>
        <w:t>ОТ 20.10.2021 N 916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1262, от 11.12.2023 N 1396, от 26.12.2023 N 1483, от 08.02.2024 N 89, от 19.03.2024 N 197).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right"/>
      </w:pPr>
      <w:r>
        <w:t>Глава города Перми</w:t>
      </w:r>
    </w:p>
    <w:p w:rsidR="006906CD" w:rsidRDefault="006906CD">
      <w:pPr>
        <w:pStyle w:val="ConsPlusNormal"/>
        <w:jc w:val="right"/>
      </w:pPr>
      <w:r>
        <w:t>Э.О.СОСНИН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jc w:val="right"/>
        <w:outlineLvl w:val="0"/>
      </w:pPr>
      <w:r>
        <w:t>УТВЕРЖДЕНЫ</w:t>
      </w:r>
    </w:p>
    <w:p w:rsidR="006906CD" w:rsidRDefault="006906CD">
      <w:pPr>
        <w:pStyle w:val="ConsPlusNormal"/>
        <w:jc w:val="right"/>
      </w:pPr>
      <w:r>
        <w:t>постановлением</w:t>
      </w:r>
    </w:p>
    <w:p w:rsidR="006906CD" w:rsidRDefault="006906CD">
      <w:pPr>
        <w:pStyle w:val="ConsPlusNormal"/>
        <w:jc w:val="right"/>
      </w:pPr>
      <w:r>
        <w:t>администрации города Перми</w:t>
      </w:r>
    </w:p>
    <w:p w:rsidR="006906CD" w:rsidRDefault="006906CD">
      <w:pPr>
        <w:pStyle w:val="ConsPlusNormal"/>
        <w:jc w:val="right"/>
      </w:pPr>
      <w:r>
        <w:t>от 25.04.2024 N 323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Title"/>
        <w:jc w:val="center"/>
      </w:pPr>
      <w:bookmarkStart w:id="0" w:name="P31"/>
      <w:bookmarkEnd w:id="0"/>
      <w:r>
        <w:t>ИЗМЕНЕНИЯ</w:t>
      </w:r>
    </w:p>
    <w:p w:rsidR="006906CD" w:rsidRDefault="006906CD">
      <w:pPr>
        <w:pStyle w:val="ConsPlusTitle"/>
        <w:jc w:val="center"/>
      </w:pPr>
      <w:r>
        <w:lastRenderedPageBreak/>
        <w:t>В МУНИЦИПАЛЬНУЮ ПРОГРАММУ "ГРАДОСТРОИТЕЛЬНАЯ ДЕЯТЕЛЬНОСТЬ</w:t>
      </w:r>
    </w:p>
    <w:p w:rsidR="006906CD" w:rsidRDefault="006906CD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6906CD" w:rsidRDefault="006906CD">
      <w:pPr>
        <w:pStyle w:val="ConsPlusTitle"/>
        <w:jc w:val="center"/>
      </w:pPr>
      <w:r>
        <w:t>АДМИНИСТРАЦИИ ГОРОДА ПЕРМИ ОТ 20 ОКТЯБРЯ 2021 Г. N 916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1. В </w:t>
      </w:r>
      <w:hyperlink r:id="rId7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891"/>
        <w:gridCol w:w="5726"/>
      </w:tblGrid>
      <w:tr w:rsidR="006906CD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</w:pPr>
            <w:r>
              <w:t>город Пермь занимает третье место в России по размеру территории (после Москвы и Санкт-Петербурга) и имеет широкие возможности пространственного развития (площадь города Перми составляет 79968 га). Наибольшую площадь города Перми занимают леса - 47% (38000 га).</w:t>
            </w:r>
          </w:p>
          <w:p w:rsidR="006906CD" w:rsidRDefault="006906CD">
            <w:pPr>
              <w:pStyle w:val="ConsPlusNormal"/>
            </w:pPr>
            <w:r>
              <w:t>В настоящее время в городе Перми имеется ряд проблем, а именно:</w:t>
            </w:r>
          </w:p>
          <w:p w:rsidR="006906CD" w:rsidRDefault="006906CD">
            <w:pPr>
              <w:pStyle w:val="ConsPlusNormal"/>
            </w:pPr>
            <w:r>
              <w:t>территория города Перми имеет площади с неупорядоченной планировочной структурой;</w:t>
            </w:r>
          </w:p>
          <w:p w:rsidR="006906CD" w:rsidRDefault="006906CD">
            <w:pPr>
              <w:pStyle w:val="ConsPlusNormal"/>
            </w:pPr>
            <w:r>
              <w:t>для города Перми характерен дисбаланс в различных частях города в отношении долей озелененных территорий общего пользования и земельных участков, занятых детскими садами и школами;</w:t>
            </w:r>
          </w:p>
          <w:p w:rsidR="006906CD" w:rsidRDefault="006906CD">
            <w:pPr>
              <w:pStyle w:val="ConsPlusNormal"/>
            </w:pPr>
            <w:r>
              <w:t>для города Перми характерна большая неравномерность распределения населения и застройки, наличие "провалов" между зонами концентрации, слабая транспортная связность отдельных частей города, их высокая автономия;</w:t>
            </w:r>
          </w:p>
          <w:p w:rsidR="006906CD" w:rsidRDefault="006906CD">
            <w:pPr>
              <w:pStyle w:val="ConsPlusNormal"/>
            </w:pPr>
            <w:r>
              <w:t>наличие объектов, нарушающих архитектурный облик города, в том числе самовольных построек;</w:t>
            </w:r>
          </w:p>
          <w:p w:rsidR="006906CD" w:rsidRDefault="006906CD">
            <w:pPr>
              <w:pStyle w:val="ConsPlusNormal"/>
            </w:pPr>
            <w:r>
              <w:t>произвольная и несанкционированная окраска фасадов,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города.</w:t>
            </w:r>
          </w:p>
          <w:p w:rsidR="006906CD" w:rsidRDefault="006906CD">
            <w:pPr>
              <w:pStyle w:val="ConsPlusNormal"/>
            </w:pPr>
            <w:r>
              <w:t>По состоянию на 01 января 2022 г. доля площади территорий, на которые разработана документация по планировке территории, от площади территории Пермского городского округа, подлежащей застройке в соответствии с Генеральным планом города Перми, в части функциональных зон СТН &lt;1&gt; составляет 94,85% (или 11019,94 га из 11618,28 га).</w:t>
            </w:r>
          </w:p>
          <w:p w:rsidR="006906CD" w:rsidRDefault="006906CD">
            <w:pPr>
              <w:pStyle w:val="ConsPlusNormal"/>
            </w:pPr>
            <w:r>
              <w:t xml:space="preserve">В целях улучшения архитектурного облика города Перми, подготовки к комплексному благоустройству участков улиц и общественных пространств в период с 2012 года по 2021 год включительно разработаны 683 паспорта внешнего облика объекта капитального строительства (далее - колерный паспорт), расположенных на центральных улицах города Перми. Колерные паспорта устанавливают внешний облик (вид) фасада здания, строения, сооружения, включая требования в отношении материалов, способов отделки и цветов фасадов, ограждающих конструкций (крыш (кровельного покрытия), ограждений балконов, лоджий), мест для размещения средств размещения информации (вывесок, указателей с </w:t>
            </w:r>
            <w:r>
              <w:lastRenderedPageBreak/>
              <w:t>наименованиями улиц и номерами домов (зданий), рекламных конструкций, а также мест для размещения, вида, цветового решения архитектурно-художественной подсветки. В период 2022-2023 годов разработано 26 колерных паспортов. В 2024 году запланировано разработать 13 колерных паспортов.</w:t>
            </w:r>
          </w:p>
          <w:p w:rsidR="006906CD" w:rsidRDefault="006906CD">
            <w:pPr>
              <w:pStyle w:val="ConsPlusNormal"/>
            </w:pPr>
            <w:r>
              <w:t xml:space="preserve">В 2018 году проведено обследование территории города на предмет соответствия вывесок стандартным требованиям, а также проводилась активная разъяснительная и информационная деятельность по данному вопросу. В </w:t>
            </w:r>
            <w:hyperlink r:id="rId9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города Перми, утвержденных решением Пермской городской Думы от 15 декабря 2020 г. N 277 (далее - Правила благоустройства города Перми), актуализированы Стандартные требования к вывескам, их размещению и эксплуатации (далее - Стандартные требования), утвержден Порядок выявления и демонтажа вывесок, не приведенных в соответствие со Стандартными требованиями к вывескам и не зафиксированных в колерном паспорте. За период 2018-2021 годов результатом данной работы стало обновление и приведение к нормативным требованиям 9177 вывесок на зданиях и сооружениях города Перми. В период 2022-2023 годов приведено к Стандартным требованиям 5983 вывески. В 2024 году запланировано приведение к Стандартным требованиям 3800 вывесок.</w:t>
            </w:r>
          </w:p>
          <w:p w:rsidR="006906CD" w:rsidRDefault="006906CD">
            <w:pPr>
              <w:pStyle w:val="ConsPlusNormal"/>
            </w:pPr>
            <w:r>
              <w:t xml:space="preserve">В период 2017-2021 годов разработано 14 концепций по реновации территории улиц и общественных пространств (ул. Карпинского от шоссе Космонавтов до ул. Мира, ул. Строителей от ул. </w:t>
            </w:r>
            <w:proofErr w:type="spellStart"/>
            <w:r>
              <w:t>Куфонина</w:t>
            </w:r>
            <w:proofErr w:type="spellEnd"/>
            <w:r>
              <w:t xml:space="preserve"> до ул. </w:t>
            </w:r>
            <w:proofErr w:type="spellStart"/>
            <w:r>
              <w:t>Вишерской</w:t>
            </w:r>
            <w:proofErr w:type="spellEnd"/>
            <w:r>
              <w:t>; концепция реновации эспланады; концепция развития ул. Пермской на участке от Комсомольского проспекта до ул. Сибирской; концепция комплексного благоустройства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"; концепция комплексного благоустройства Комсомольского проспекта; концепция комплексного благоустройства Парка Победы; концепция аллеи Советской Армии; сквер у клуба им. Кирова; автомобильная дорога по ул. </w:t>
            </w:r>
            <w:proofErr w:type="spellStart"/>
            <w:r>
              <w:t>Углеуральской</w:t>
            </w:r>
            <w:proofErr w:type="spellEnd"/>
            <w:r>
              <w:t>; реконструкция площади Восстания (2 этап), строительство Архиерейского подворья, сквер</w:t>
            </w:r>
          </w:p>
          <w:p w:rsidR="006906CD" w:rsidRDefault="006906CD">
            <w:pPr>
              <w:pStyle w:val="ConsPlusNormal"/>
            </w:pPr>
            <w:r>
              <w:t xml:space="preserve">им. </w:t>
            </w:r>
            <w:proofErr w:type="spellStart"/>
            <w:r>
              <w:t>П.Морозова</w:t>
            </w:r>
            <w:proofErr w:type="spellEnd"/>
            <w:r>
              <w:t xml:space="preserve"> (ул.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  <w:r>
              <w:t>), сквер по ул. Яблочкова).</w:t>
            </w:r>
          </w:p>
          <w:p w:rsidR="006906CD" w:rsidRDefault="006906CD">
            <w:pPr>
              <w:pStyle w:val="ConsPlusNormal"/>
            </w:pPr>
            <w:r>
              <w:t xml:space="preserve">В 2022 году разработано 10 концепций по реновации территории улиц и общественных пространств (концепция бульвара по ул. Советской Армии, концепция бульвара по ул. </w:t>
            </w:r>
            <w:proofErr w:type="spellStart"/>
            <w:r>
              <w:t>Волгодонской</w:t>
            </w:r>
            <w:proofErr w:type="spellEnd"/>
            <w:r>
              <w:t xml:space="preserve"> от ул. Калинина до ул. </w:t>
            </w:r>
            <w:proofErr w:type="spellStart"/>
            <w:r>
              <w:t>Каляева</w:t>
            </w:r>
            <w:proofErr w:type="spellEnd"/>
            <w:r>
              <w:t xml:space="preserve"> / территория 4 (Водники), концепция территории по ул. Карпинского между ул. </w:t>
            </w:r>
            <w:proofErr w:type="spellStart"/>
            <w:r>
              <w:t>Пашийской</w:t>
            </w:r>
            <w:proofErr w:type="spellEnd"/>
            <w:r>
              <w:t xml:space="preserve"> и ул. Льва Толстого / территория 2 фрагмент 4 (</w:t>
            </w:r>
            <w:proofErr w:type="spellStart"/>
            <w:r>
              <w:t>Балатово</w:t>
            </w:r>
            <w:proofErr w:type="spellEnd"/>
            <w:r>
              <w:t xml:space="preserve">, </w:t>
            </w:r>
            <w:proofErr w:type="spellStart"/>
            <w:r>
              <w:t>Данилиха</w:t>
            </w:r>
            <w:proofErr w:type="spellEnd"/>
            <w:r>
              <w:t xml:space="preserve">), дизайн-код общественных пространств города Перми, дизайн-проект сада имени </w:t>
            </w:r>
            <w:proofErr w:type="spellStart"/>
            <w:r>
              <w:t>Н.В.Гоголя</w:t>
            </w:r>
            <w:proofErr w:type="spellEnd"/>
            <w:r>
              <w:t xml:space="preserve">, концепция развития территории на ул. Петропавловской от ул. Попова до ул. </w:t>
            </w:r>
            <w:proofErr w:type="spellStart"/>
            <w:r>
              <w:lastRenderedPageBreak/>
              <w:t>Крисанова</w:t>
            </w:r>
            <w:proofErr w:type="spellEnd"/>
            <w:r>
              <w:t xml:space="preserve"> (</w:t>
            </w:r>
            <w:proofErr w:type="spellStart"/>
            <w:r>
              <w:t>Слудская</w:t>
            </w:r>
            <w:proofErr w:type="spellEnd"/>
            <w:r>
              <w:t xml:space="preserve"> горка), концепция развития территории ул. Николая Островского от ул. Белинского до ул. Пушкина и по ул. Пушкина от ул. Николая Островского до ул. Сибирской города Перми, концепция стелы трудовой доблести и благоустройства территории, предназначенной для установки стелы, концепция развития территории вдоль ул. Космонавта Леонова в микрорайоне Нагорный Индустриального района города Перми, разработка пешеходного тоннеля под Горнозаводской железнодорожной веткой и 1 градостроительная концепция (концепция благоустройства по ул. Куйбышева от ул. Окулова до ул. Соловьева в Ленинском и Свердловском районах города Перми).</w:t>
            </w:r>
          </w:p>
          <w:p w:rsidR="006906CD" w:rsidRDefault="006906CD">
            <w:pPr>
              <w:pStyle w:val="ConsPlusNormal"/>
            </w:pPr>
            <w:r>
              <w:t>В 2023 году разработано 9 концепций по реновации территории улиц и общественных</w:t>
            </w:r>
          </w:p>
          <w:p w:rsidR="006906CD" w:rsidRDefault="006906CD">
            <w:pPr>
              <w:pStyle w:val="ConsPlusNormal"/>
            </w:pPr>
            <w:r>
              <w:t>пространств (концепция территории, расположенной вдоль ул. Николая Островского, в границах земельных участков с кадастровыми номерами: 59:01:4410267:22, 59:01:4410267:3, 59:01:4410267:24; концепция территории Комсомольского проспекта от ул. Ленина</w:t>
            </w:r>
          </w:p>
          <w:p w:rsidR="006906CD" w:rsidRDefault="006906CD">
            <w:pPr>
              <w:pStyle w:val="ConsPlusNormal"/>
            </w:pPr>
            <w:r>
              <w:t xml:space="preserve">до ул. Екатерининской (по нечетной стороне), в границах земельных участков с кадастровыми номерами: 59:01:4410090:1050, 59:01:4410090:29, 59:01:4410090:12, 59:01:4410090:19, 59:01:4410090:33; концепция сквера на площади Дружбы от бульвара Гагарина до площади Дружбы; концепция реновации территории, расположенной на </w:t>
            </w:r>
            <w:proofErr w:type="spellStart"/>
            <w:r>
              <w:t>отстойно</w:t>
            </w:r>
            <w:proofErr w:type="spellEnd"/>
            <w:r>
              <w:t xml:space="preserve">-разворотной площадке автобусов между шоссе Космонавтов и улицей Мира; концепция сквера им. Александра Невского, в границах ул. </w:t>
            </w:r>
            <w:proofErr w:type="spellStart"/>
            <w:r>
              <w:t>Ласьвинской</w:t>
            </w:r>
            <w:proofErr w:type="spellEnd"/>
            <w:r>
              <w:t xml:space="preserve"> и ул. Маршала Рыбалко; концепция реновации территории площади, расположенной вдоль ул. Уральской в границах земельного участка с кадастровым номером: 59:01:4311064:179; концепция бульвара по ул. Братьев Игнатовых на участке от ул. Мира до шоссе Космонавтов; концепция реновации территории парка Свердлова, расположенной вдоль ул. Уральской и ул. Якова Свердлова; концепция сквера купцов </w:t>
            </w:r>
            <w:proofErr w:type="spellStart"/>
            <w:r>
              <w:t>Грибушиных</w:t>
            </w:r>
            <w:proofErr w:type="spellEnd"/>
            <w:r>
              <w:t>, на пересечении ул. Ленина и ул. Максима Горького).</w:t>
            </w:r>
          </w:p>
          <w:p w:rsidR="006906CD" w:rsidRDefault="006906CD">
            <w:pPr>
              <w:pStyle w:val="ConsPlusNormal"/>
            </w:pPr>
            <w:r>
              <w:t>В 2024 году запланировано разработать 6 концепций по реновации территории улиц и общественных пространств и 3 градостроительные концепции.</w:t>
            </w:r>
          </w:p>
          <w:p w:rsidR="006906CD" w:rsidRDefault="006906CD">
            <w:pPr>
              <w:pStyle w:val="ConsPlusNormal"/>
            </w:pPr>
            <w:r>
              <w:t>В период 2017-2021 годов снесены или приведены в первоначальное положение 115 объектов</w:t>
            </w:r>
          </w:p>
          <w:p w:rsidR="006906CD" w:rsidRDefault="006906CD">
            <w:pPr>
              <w:pStyle w:val="ConsPlusNormal"/>
            </w:pPr>
            <w:r>
              <w:t>капитального строительства, признанных самовольными постройками на территории города Перми. В период 2022-2023 годов снесено 88 объектов капитального строительства, признанных самовольными постройками. В 2024 году запланировано снести или привести в первоначальное положение 40 объектов капитального строительства, признанных самовольными постройками.</w:t>
            </w:r>
          </w:p>
          <w:p w:rsidR="006906CD" w:rsidRDefault="006906CD">
            <w:pPr>
              <w:pStyle w:val="ConsPlusNormal"/>
            </w:pPr>
            <w:r>
              <w:t xml:space="preserve">В период с 2012 года по 2019 год включительно </w:t>
            </w:r>
            <w:r>
              <w:lastRenderedPageBreak/>
              <w:t>многодетным семьям, поставленным на учет в городе Перми, предоставлено 1970 участков под индивидуальное жилищное строительство.</w:t>
            </w:r>
          </w:p>
          <w:p w:rsidR="006906CD" w:rsidRDefault="006906CD">
            <w:pPr>
              <w:pStyle w:val="ConsPlusNormal"/>
            </w:pPr>
            <w:r>
              <w:t xml:space="preserve">Настоящая программа разработана в соответствии с Градостроительным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Генеральным </w:t>
            </w:r>
            <w:hyperlink r:id="rId11">
              <w:r>
                <w:rPr>
                  <w:color w:val="0000FF"/>
                </w:rPr>
                <w:t>планом</w:t>
              </w:r>
            </w:hyperlink>
            <w:r>
              <w:t xml:space="preserve"> города Перми, утвержденным решением Пермской городской Думы от 17 декабря 2010 г. N 205 (далее - Генеральный план города Перми), </w:t>
            </w:r>
            <w:hyperlink r:id="rId12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города Перми, утвержденными решением Пермской городской Думы</w:t>
            </w:r>
          </w:p>
          <w:p w:rsidR="006906CD" w:rsidRDefault="006906CD">
            <w:pPr>
              <w:pStyle w:val="ConsPlusNormal"/>
            </w:pPr>
            <w:r>
              <w:t>от 26 июня 2007 г. N 143 (далее - Правила землепользования и застройки города Перми).</w:t>
            </w:r>
          </w:p>
          <w:p w:rsidR="006906CD" w:rsidRDefault="006906CD">
            <w:pPr>
              <w:pStyle w:val="ConsPlusNormal"/>
            </w:pPr>
            <w:r>
              <w:t>Программа направлена на сбалансированное развитие территории города Перми, что подразумевает под собой обеспечение комплексного и устойчивого развития территории на основе территориального планирования, градостроительного зонирования и планировки территории, а также обеспечение безопасности и благоприятных условий жизнедеятельности человека, обеспечение сбалансированного учета экологических, экономических, социальных и иных факторов при осуществлении градостроительной деятельности, что соответствует национальной цели развития России до 2030 года "Комфортная и безопасная среда для жизни".</w:t>
            </w:r>
          </w:p>
          <w:p w:rsidR="006906CD" w:rsidRDefault="006906CD">
            <w:pPr>
              <w:pStyle w:val="ConsPlusNormal"/>
            </w:pPr>
            <w:r>
              <w:t xml:space="preserve">В рамках программы планируется реализация задач, установленных </w:t>
            </w:r>
            <w:hyperlink r:id="rId13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в части функционально-целевого направления "Комфортная среда для жизни":</w:t>
            </w:r>
          </w:p>
          <w:p w:rsidR="006906CD" w:rsidRDefault="006906CD">
            <w:pPr>
              <w:pStyle w:val="ConsPlusNormal"/>
            </w:pPr>
            <w:r>
              <w:t>сбалансированное развитие территории и пространственной организации города Перми;</w:t>
            </w:r>
          </w:p>
          <w:p w:rsidR="006906CD" w:rsidRDefault="006906CD">
            <w:pPr>
              <w:pStyle w:val="ConsPlusNormal"/>
            </w:pPr>
            <w:r>
              <w:t>создание условий для развития жилищного строительства;</w:t>
            </w:r>
          </w:p>
          <w:p w:rsidR="006906CD" w:rsidRDefault="006906CD">
            <w:pPr>
              <w:pStyle w:val="ConsPlusNormal"/>
            </w:pPr>
            <w:r>
              <w:t>создание условий для развития архитектурной привлекательности города Перми.</w:t>
            </w:r>
          </w:p>
          <w:p w:rsidR="006906CD" w:rsidRDefault="006906CD">
            <w:pPr>
              <w:pStyle w:val="ConsPlusNormal"/>
            </w:pPr>
            <w:r>
              <w:t>Для достижения целей и задач СЭР и цели программы будут реализовываться следующие основные мероприятия:</w:t>
            </w:r>
          </w:p>
          <w:p w:rsidR="006906CD" w:rsidRDefault="006906CD">
            <w:pPr>
              <w:pStyle w:val="ConsPlusNormal"/>
            </w:pPr>
            <w:r>
              <w:t>разработка документации по планировке территорий в целях образования земельных участков под объекты дошкольного образования, под общеобразовательные объекты, под линейные объекты, под спортивные объекты, под объекты капитального строительства, в целях развития улично-дорожной сети, в целях комплексного развития территорий, в целях образования земельных участков, предоставляемых на торгах, в том числе в рамках реализации программы переселения граждан из аварийного жилищного фонда, в целях благоустройства территорий, в целях изъятия земельных участков, на которых расположены нестационарные торговые объекты</w:t>
            </w:r>
          </w:p>
          <w:p w:rsidR="006906CD" w:rsidRDefault="006906CD">
            <w:pPr>
              <w:pStyle w:val="ConsPlusNormal"/>
            </w:pPr>
            <w:r>
              <w:t>(далее - НТО);</w:t>
            </w:r>
          </w:p>
          <w:p w:rsidR="006906CD" w:rsidRDefault="006906CD">
            <w:pPr>
              <w:pStyle w:val="ConsPlusNormal"/>
            </w:pPr>
            <w:r>
              <w:t xml:space="preserve">постановка земельных участков на государственный </w:t>
            </w:r>
            <w:r>
              <w:lastRenderedPageBreak/>
              <w:t>кадастровый учет в целях предоставления земельных участков на торги, обеспечения земельными участками многодетных семей, поставленных на учет в городе Перми, под многоквартирными домами;</w:t>
            </w:r>
          </w:p>
          <w:p w:rsidR="006906CD" w:rsidRDefault="006906CD">
            <w:pPr>
              <w:pStyle w:val="ConsPlusNormal"/>
            </w:pPr>
            <w: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 путем подготовки предложений по внесению изменений в Генеральный план города Перми и Правила землепользования и застройки города Перми, путем заключения соглашений о сотрудничестве между застройщиком и муниципальным образованием город Пермь для развития сети социальной инфраструктуры города Перми, путем рассмотрения и согласования договоров о комплексном развитии территории, документации по планировке территории, проведения общественных обсуждений по вопросам градостроительной деятельности в городе Перми;</w:t>
            </w:r>
          </w:p>
          <w:p w:rsidR="006906CD" w:rsidRDefault="006906CD">
            <w:pPr>
              <w:pStyle w:val="ConsPlusNormal"/>
            </w:pPr>
            <w:r>
              <w:t>разработка концепций по реновации территорий улиц и общественных пространств, градостроительных концепций, разработка колерных паспортов зданий, что обеспечит наличие системного подхода по наружной отделке, ограждающих конструкций, мест для размещения средств размещения информации, рекламных конструкций и архитектурно-художественной подсветке фасадов зданий, строений, сооружений города Перми;</w:t>
            </w:r>
          </w:p>
          <w:p w:rsidR="006906CD" w:rsidRDefault="006906CD">
            <w:pPr>
              <w:pStyle w:val="ConsPlusNormal"/>
            </w:pPr>
            <w:r>
              <w:t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их приведения в соответствие с установленными требованиями, что обеспечит сокращение нарушений требований действующего законодательства по использованию земельных участков, а также путем демонтажа вывесок, не соответствующих Стандартным требованиям, установленным Правилами благоустройства города Перми, и не зафиксированных в колерном паспорте;</w:t>
            </w:r>
          </w:p>
          <w:p w:rsidR="006906CD" w:rsidRDefault="006906CD">
            <w:pPr>
              <w:pStyle w:val="ConsPlusNormal"/>
            </w:pPr>
            <w:r>
              <w:t>ведение автоматизированной информационной системы обеспечения градостроительной деятельности города Перми (далее - АИСОГД) путем ее наполнения и сопровождения,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услуг, в том числе в электронном виде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1.2. </w:t>
      </w:r>
      <w:hyperlink r:id="rId14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891"/>
        <w:gridCol w:w="1144"/>
        <w:gridCol w:w="1144"/>
        <w:gridCol w:w="1144"/>
        <w:gridCol w:w="1144"/>
        <w:gridCol w:w="1144"/>
      </w:tblGrid>
      <w:tr w:rsidR="006906CD">
        <w:tc>
          <w:tcPr>
            <w:tcW w:w="397" w:type="dxa"/>
            <w:vMerge w:val="restart"/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2026 год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42362,156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37390,600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74625,893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42362,156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36861,400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37390,600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579,000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52310,969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505,826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579,000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579,000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30105,990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24690,500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3861,894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30105,990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24161,300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24690,500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12121,100</w:t>
            </w:r>
          </w:p>
        </w:tc>
      </w:tr>
      <w:tr w:rsidR="006906CD">
        <w:tc>
          <w:tcPr>
            <w:tcW w:w="397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891" w:type="dxa"/>
          </w:tcPr>
          <w:p w:rsidR="006906CD" w:rsidRDefault="006906C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18453,030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11750,340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 </w:t>
      </w:r>
      <w:hyperlink r:id="rId15">
        <w:r>
          <w:rPr>
            <w:color w:val="0000FF"/>
          </w:rPr>
          <w:t>строки 1.1.2.1.1.1</w:t>
        </w:r>
      </w:hyperlink>
      <w:r>
        <w:t xml:space="preserve">, </w:t>
      </w:r>
      <w:hyperlink r:id="rId16">
        <w:r>
          <w:rPr>
            <w:color w:val="0000FF"/>
          </w:rPr>
          <w:t>1.1.2.1.1.2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sectPr w:rsidR="006906CD" w:rsidSect="00EA71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12"/>
        <w:gridCol w:w="340"/>
        <w:gridCol w:w="364"/>
        <w:gridCol w:w="364"/>
        <w:gridCol w:w="340"/>
        <w:gridCol w:w="340"/>
        <w:gridCol w:w="2332"/>
        <w:gridCol w:w="928"/>
        <w:gridCol w:w="904"/>
        <w:gridCol w:w="1024"/>
        <w:gridCol w:w="1024"/>
        <w:gridCol w:w="904"/>
        <w:gridCol w:w="904"/>
      </w:tblGrid>
      <w:tr w:rsidR="006906CD"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154" w:type="dxa"/>
            <w:vAlign w:val="center"/>
          </w:tcPr>
          <w:p w:rsidR="006906CD" w:rsidRDefault="006906CD">
            <w:pPr>
              <w:pStyle w:val="ConsPlusNormal"/>
            </w:pPr>
            <w:r>
              <w:t>количество осмотров 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314,750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270,700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270,700</w:t>
            </w:r>
          </w:p>
        </w:tc>
      </w:tr>
      <w:tr w:rsidR="006906CD">
        <w:tc>
          <w:tcPr>
            <w:tcW w:w="1144" w:type="dxa"/>
          </w:tcPr>
          <w:p w:rsidR="006906CD" w:rsidRDefault="006906CD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  <w:vAlign w:val="center"/>
          </w:tcPr>
          <w:p w:rsidR="006906CD" w:rsidRDefault="006906CD">
            <w:pPr>
              <w:pStyle w:val="ConsPlusNormal"/>
            </w:pPr>
            <w:r>
              <w:t>количество подготовленных экспертных заключений, проведенных экспертиз, предоставленных консультационных, юридических услуг (по инициативе ДГА)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3.1. </w:t>
      </w:r>
      <w:hyperlink r:id="rId18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12"/>
        <w:gridCol w:w="340"/>
        <w:gridCol w:w="364"/>
        <w:gridCol w:w="364"/>
        <w:gridCol w:w="454"/>
        <w:gridCol w:w="510"/>
        <w:gridCol w:w="2332"/>
        <w:gridCol w:w="928"/>
        <w:gridCol w:w="904"/>
        <w:gridCol w:w="1024"/>
        <w:gridCol w:w="1024"/>
        <w:gridCol w:w="904"/>
        <w:gridCol w:w="904"/>
      </w:tblGrid>
      <w:tr w:rsidR="006906CD">
        <w:tc>
          <w:tcPr>
            <w:tcW w:w="1144" w:type="dxa"/>
            <w:vMerge w:val="restart"/>
          </w:tcPr>
          <w:p w:rsidR="006906CD" w:rsidRDefault="006906CD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154" w:type="dxa"/>
            <w:vMerge w:val="restart"/>
          </w:tcPr>
          <w:p w:rsidR="006906CD" w:rsidRDefault="006906CD">
            <w:pPr>
              <w:pStyle w:val="ConsPlusNormal"/>
            </w:pPr>
            <w:r>
              <w:t xml:space="preserve">количество снесенных самовольных </w:t>
            </w:r>
            <w:r>
              <w:lastRenderedPageBreak/>
              <w:t>построек в городе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Align w:val="center"/>
          </w:tcPr>
          <w:p w:rsidR="006906CD" w:rsidRDefault="006906C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  <w:vAlign w:val="center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8,218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3967,643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236,425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811,000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131,655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52,600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1202,500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1239,047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549,800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</w:tcPr>
          <w:p w:rsidR="006906CD" w:rsidRDefault="006906CD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1578,798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6536,290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549,800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3.2. </w:t>
      </w:r>
      <w:hyperlink r:id="rId19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12"/>
        <w:gridCol w:w="340"/>
        <w:gridCol w:w="364"/>
        <w:gridCol w:w="364"/>
        <w:gridCol w:w="454"/>
        <w:gridCol w:w="510"/>
        <w:gridCol w:w="2332"/>
        <w:gridCol w:w="928"/>
        <w:gridCol w:w="904"/>
        <w:gridCol w:w="1024"/>
        <w:gridCol w:w="1024"/>
        <w:gridCol w:w="904"/>
        <w:gridCol w:w="904"/>
      </w:tblGrid>
      <w:tr w:rsidR="006906CD">
        <w:tc>
          <w:tcPr>
            <w:tcW w:w="1144" w:type="dxa"/>
            <w:vMerge w:val="restart"/>
          </w:tcPr>
          <w:p w:rsidR="006906CD" w:rsidRDefault="006906CD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154" w:type="dxa"/>
            <w:vMerge w:val="restart"/>
          </w:tcPr>
          <w:p w:rsidR="006906CD" w:rsidRDefault="006906CD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407,000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255,500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255,500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808,833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250,000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139,600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182,500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250,000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287,000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154" w:type="dxa"/>
          </w:tcPr>
          <w:p w:rsidR="006906CD" w:rsidRDefault="006906CD">
            <w:pPr>
              <w:pStyle w:val="ConsPlusNormal"/>
            </w:pPr>
            <w:r>
              <w:t>Итого по ПНР: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906CD" w:rsidRDefault="006906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6906CD" w:rsidRDefault="006906C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6906CD" w:rsidRDefault="006906C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2074,933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1229,800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769,800</w:t>
            </w:r>
          </w:p>
        </w:tc>
        <w:tc>
          <w:tcPr>
            <w:tcW w:w="904" w:type="dxa"/>
          </w:tcPr>
          <w:p w:rsidR="006906CD" w:rsidRDefault="006906CD">
            <w:pPr>
              <w:pStyle w:val="ConsPlusNormal"/>
              <w:jc w:val="center"/>
            </w:pPr>
            <w:r>
              <w:t>769,800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3.3. в </w:t>
      </w:r>
      <w:hyperlink r:id="rId20">
        <w:r>
          <w:rPr>
            <w:color w:val="0000FF"/>
          </w:rPr>
          <w:t>графе 13 строки</w:t>
        </w:r>
      </w:hyperlink>
      <w:r>
        <w:t xml:space="preserve"> "Итого по мероприятию 1.2.1.2.1, в том числе по источникам финансирования" цифры "7483,090" заменить цифрами "7766,090";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3.4. в </w:t>
      </w:r>
      <w:hyperlink r:id="rId21">
        <w:r>
          <w:rPr>
            <w:color w:val="0000FF"/>
          </w:rPr>
          <w:t>графе 13 строки</w:t>
        </w:r>
      </w:hyperlink>
      <w:r>
        <w:t xml:space="preserve"> "Итого по основному мероприятию 1.2.1.2, в том числе по источникам финансирования" цифры "7483,090" заменить цифрами "7766,090";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3.5. в </w:t>
      </w:r>
      <w:hyperlink r:id="rId22">
        <w:r>
          <w:rPr>
            <w:color w:val="0000FF"/>
          </w:rPr>
          <w:t>графе 13 строки</w:t>
        </w:r>
      </w:hyperlink>
      <w:r>
        <w:t xml:space="preserve"> "Итого по задаче 1.2.1, в том числе по источникам финансирования" цифры "29822,990" заменить цифрами "30105,990";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3.6. в </w:t>
      </w:r>
      <w:hyperlink r:id="rId23">
        <w:r>
          <w:rPr>
            <w:color w:val="0000FF"/>
          </w:rPr>
          <w:t>графе 13 строки</w:t>
        </w:r>
      </w:hyperlink>
      <w:r>
        <w:t xml:space="preserve"> "Всего по подпрограмме 1.2, в том числе по источникам финансирования" цифры "29822,990" заменить цифрами "30105,990".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приложении 1</w:t>
        </w:r>
      </w:hyperlink>
      <w:r>
        <w:t>: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84"/>
        <w:gridCol w:w="604"/>
        <w:gridCol w:w="1204"/>
        <w:gridCol w:w="1204"/>
        <w:gridCol w:w="2788"/>
        <w:gridCol w:w="412"/>
        <w:gridCol w:w="340"/>
        <w:gridCol w:w="928"/>
        <w:gridCol w:w="904"/>
      </w:tblGrid>
      <w:tr w:rsidR="006906C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</w:pPr>
            <w:r>
              <w:t xml:space="preserve">Проведение </w:t>
            </w:r>
            <w:r>
              <w:lastRenderedPageBreak/>
              <w:t>строительно-технических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788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 xml:space="preserve">количество осмотров </w:t>
            </w:r>
            <w:r>
              <w:lastRenderedPageBreak/>
              <w:t>зданий, сооружений 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314,750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4.2. </w:t>
      </w:r>
      <w:hyperlink r:id="rId26">
        <w:r>
          <w:rPr>
            <w:color w:val="0000FF"/>
          </w:rPr>
          <w:t>строку 1.1.2.1.1.2</w:t>
        </w:r>
      </w:hyperlink>
      <w:r>
        <w:t xml:space="preserve"> признать утратившей силу.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5. В </w:t>
      </w:r>
      <w:hyperlink r:id="rId27">
        <w:r>
          <w:rPr>
            <w:color w:val="0000FF"/>
          </w:rPr>
          <w:t>приложении 2</w:t>
        </w:r>
      </w:hyperlink>
      <w:r>
        <w:t>: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5.1. </w:t>
      </w:r>
      <w:hyperlink r:id="rId28">
        <w:r>
          <w:rPr>
            <w:color w:val="0000FF"/>
          </w:rPr>
          <w:t>строки 1.2.1.2.1.1</w:t>
        </w:r>
      </w:hyperlink>
      <w:r>
        <w:t xml:space="preserve">, </w:t>
      </w:r>
      <w:hyperlink r:id="rId29">
        <w:r>
          <w:rPr>
            <w:color w:val="0000FF"/>
          </w:rPr>
          <w:t>1.2.1.2.1.2</w:t>
        </w:r>
      </w:hyperlink>
      <w:r>
        <w:t xml:space="preserve"> изложить в следующей редакции:</w:t>
      </w:r>
    </w:p>
    <w:p w:rsidR="006906CD" w:rsidRDefault="006906C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88"/>
        <w:gridCol w:w="2332"/>
        <w:gridCol w:w="1204"/>
        <w:gridCol w:w="1204"/>
        <w:gridCol w:w="2272"/>
        <w:gridCol w:w="412"/>
        <w:gridCol w:w="364"/>
        <w:gridCol w:w="928"/>
        <w:gridCol w:w="1024"/>
      </w:tblGrid>
      <w:tr w:rsidR="006906CD">
        <w:tc>
          <w:tcPr>
            <w:tcW w:w="1144" w:type="dxa"/>
            <w:vMerge w:val="restart"/>
          </w:tcPr>
          <w:p w:rsidR="006906CD" w:rsidRDefault="006906CD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588" w:type="dxa"/>
            <w:vMerge w:val="restart"/>
          </w:tcPr>
          <w:p w:rsidR="006906CD" w:rsidRDefault="006906CD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3967,643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466,000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снесенных самовольных построек в Ленинском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811,000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52,600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снесенных самовольных построек в Орджоникидзевском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1239,047</w:t>
            </w:r>
          </w:p>
        </w:tc>
      </w:tr>
      <w:tr w:rsidR="006906CD">
        <w:tc>
          <w:tcPr>
            <w:tcW w:w="1144" w:type="dxa"/>
            <w:vMerge w:val="restart"/>
          </w:tcPr>
          <w:p w:rsidR="006906CD" w:rsidRDefault="006906CD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588" w:type="dxa"/>
            <w:vMerge w:val="restart"/>
          </w:tcPr>
          <w:p w:rsidR="006906CD" w:rsidRDefault="006906CD">
            <w:pPr>
              <w:pStyle w:val="ConsPlusNormal"/>
            </w:pPr>
            <w:r>
              <w:t>Проведение экспертиз по объектам капитального строительства в городе Перми</w:t>
            </w: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255,500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710,000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 xml:space="preserve">количество проведенных экспертиз по </w:t>
            </w:r>
            <w:r>
              <w:lastRenderedPageBreak/>
              <w:t>объектам в Ленинском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  <w:tr w:rsidR="006906CD">
        <w:tc>
          <w:tcPr>
            <w:tcW w:w="1144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1588" w:type="dxa"/>
            <w:vMerge/>
          </w:tcPr>
          <w:p w:rsidR="006906CD" w:rsidRDefault="006906CD">
            <w:pPr>
              <w:pStyle w:val="ConsPlusNormal"/>
            </w:pPr>
          </w:p>
        </w:tc>
        <w:tc>
          <w:tcPr>
            <w:tcW w:w="2332" w:type="dxa"/>
          </w:tcPr>
          <w:p w:rsidR="006906CD" w:rsidRDefault="006906C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6906CD" w:rsidRDefault="006906C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272" w:type="dxa"/>
          </w:tcPr>
          <w:p w:rsidR="006906CD" w:rsidRDefault="006906CD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12" w:type="dxa"/>
          </w:tcPr>
          <w:p w:rsidR="006906CD" w:rsidRDefault="006906C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906CD" w:rsidRDefault="006906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</w:tcPr>
          <w:p w:rsidR="006906CD" w:rsidRDefault="006906C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906CD" w:rsidRDefault="006906CD">
            <w:pPr>
              <w:pStyle w:val="ConsPlusNormal"/>
              <w:jc w:val="center"/>
            </w:pPr>
            <w:r>
              <w:t>88,100</w:t>
            </w:r>
          </w:p>
        </w:tc>
      </w:tr>
    </w:tbl>
    <w:p w:rsidR="006906CD" w:rsidRDefault="006906CD">
      <w:pPr>
        <w:pStyle w:val="ConsPlusNormal"/>
        <w:jc w:val="both"/>
      </w:pPr>
    </w:p>
    <w:p w:rsidR="006906CD" w:rsidRDefault="006906CD">
      <w:pPr>
        <w:pStyle w:val="ConsPlusNormal"/>
        <w:ind w:firstLine="540"/>
        <w:jc w:val="both"/>
      </w:pPr>
      <w:r>
        <w:t xml:space="preserve">5.2. в </w:t>
      </w:r>
      <w:hyperlink r:id="rId30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"7483,090" заменить цифрами "7766,090";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5.3. в </w:t>
      </w:r>
      <w:hyperlink r:id="rId3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"7483,090" заменить цифрами "7766,090";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5.4. в </w:t>
      </w:r>
      <w:hyperlink r:id="rId32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"29822,990" заменить цифрами "30105,990";</w:t>
      </w:r>
    </w:p>
    <w:p w:rsidR="006906CD" w:rsidRDefault="006906CD">
      <w:pPr>
        <w:pStyle w:val="ConsPlusNormal"/>
        <w:spacing w:before="220"/>
        <w:ind w:firstLine="540"/>
        <w:jc w:val="both"/>
      </w:pPr>
      <w:r>
        <w:t xml:space="preserve">5.5. в </w:t>
      </w:r>
      <w:hyperlink r:id="rId33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"29822,990" заменить цифрами "30105,990".</w:t>
      </w:r>
    </w:p>
    <w:p w:rsidR="006906CD" w:rsidRDefault="006906CD">
      <w:pPr>
        <w:pStyle w:val="ConsPlusNormal"/>
        <w:jc w:val="both"/>
      </w:pPr>
    </w:p>
    <w:p w:rsidR="00E61F1E" w:rsidRDefault="00E61F1E">
      <w:bookmarkStart w:id="1" w:name="_GoBack"/>
      <w:bookmarkEnd w:id="1"/>
    </w:p>
    <w:sectPr w:rsidR="00E61F1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D"/>
    <w:rsid w:val="006906CD"/>
    <w:rsid w:val="00E6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DE905-B198-4F90-8E02-1AC82E68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06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906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906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4576&amp;dst=100023" TargetMode="External"/><Relationship Id="rId18" Type="http://schemas.openxmlformats.org/officeDocument/2006/relationships/hyperlink" Target="https://login.consultant.ru/link/?req=doc&amp;base=RLAW368&amp;n=193511&amp;dst=114485" TargetMode="External"/><Relationship Id="rId26" Type="http://schemas.openxmlformats.org/officeDocument/2006/relationships/hyperlink" Target="https://login.consultant.ru/link/?req=doc&amp;base=RLAW368&amp;n=193511&amp;dst=1142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3511&amp;dst=114674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93511&amp;dst=100039" TargetMode="External"/><Relationship Id="rId12" Type="http://schemas.openxmlformats.org/officeDocument/2006/relationships/hyperlink" Target="https://login.consultant.ru/link/?req=doc&amp;base=RLAW368&amp;n=194169&amp;dst=100025" TargetMode="External"/><Relationship Id="rId17" Type="http://schemas.openxmlformats.org/officeDocument/2006/relationships/hyperlink" Target="https://login.consultant.ru/link/?req=doc&amp;base=RLAW368&amp;n=193511&amp;dst=114015" TargetMode="External"/><Relationship Id="rId25" Type="http://schemas.openxmlformats.org/officeDocument/2006/relationships/hyperlink" Target="https://login.consultant.ru/link/?req=doc&amp;base=RLAW368&amp;n=193511&amp;dst=114294" TargetMode="External"/><Relationship Id="rId33" Type="http://schemas.openxmlformats.org/officeDocument/2006/relationships/hyperlink" Target="https://login.consultant.ru/link/?req=doc&amp;base=RLAW368&amp;n=193511&amp;dst=1149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3511&amp;dst=114004" TargetMode="External"/><Relationship Id="rId20" Type="http://schemas.openxmlformats.org/officeDocument/2006/relationships/hyperlink" Target="https://login.consultant.ru/link/?req=doc&amp;base=RLAW368&amp;n=193511&amp;dst=114673" TargetMode="External"/><Relationship Id="rId29" Type="http://schemas.openxmlformats.org/officeDocument/2006/relationships/hyperlink" Target="https://login.consultant.ru/link/?req=doc&amp;base=RLAW368&amp;n=193511&amp;dst=1148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93511&amp;dst=100038" TargetMode="External"/><Relationship Id="rId11" Type="http://schemas.openxmlformats.org/officeDocument/2006/relationships/hyperlink" Target="https://login.consultant.ru/link/?req=doc&amp;base=RLAW368&amp;n=175839&amp;dst=100005" TargetMode="External"/><Relationship Id="rId24" Type="http://schemas.openxmlformats.org/officeDocument/2006/relationships/hyperlink" Target="https://login.consultant.ru/link/?req=doc&amp;base=RLAW368&amp;n=193511&amp;dst=114248" TargetMode="External"/><Relationship Id="rId32" Type="http://schemas.openxmlformats.org/officeDocument/2006/relationships/hyperlink" Target="https://login.consultant.ru/link/?req=doc&amp;base=RLAW368&amp;n=193511&amp;dst=114903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93511&amp;dst=114003" TargetMode="External"/><Relationship Id="rId23" Type="http://schemas.openxmlformats.org/officeDocument/2006/relationships/hyperlink" Target="https://login.consultant.ru/link/?req=doc&amp;base=RLAW368&amp;n=193511&amp;dst=114676" TargetMode="External"/><Relationship Id="rId28" Type="http://schemas.openxmlformats.org/officeDocument/2006/relationships/hyperlink" Target="https://login.consultant.ru/link/?req=doc&amp;base=RLAW368&amp;n=193511&amp;dst=114817" TargetMode="External"/><Relationship Id="rId10" Type="http://schemas.openxmlformats.org/officeDocument/2006/relationships/hyperlink" Target="https://login.consultant.ru/link/?req=doc&amp;base=LAW&amp;n=464185" TargetMode="External"/><Relationship Id="rId19" Type="http://schemas.openxmlformats.org/officeDocument/2006/relationships/hyperlink" Target="https://login.consultant.ru/link/?req=doc&amp;base=RLAW368&amp;n=193511&amp;dst=114566" TargetMode="External"/><Relationship Id="rId31" Type="http://schemas.openxmlformats.org/officeDocument/2006/relationships/hyperlink" Target="https://login.consultant.ru/link/?req=doc&amp;base=RLAW368&amp;n=193511&amp;dst=11490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3353&amp;dst=100034" TargetMode="External"/><Relationship Id="rId14" Type="http://schemas.openxmlformats.org/officeDocument/2006/relationships/hyperlink" Target="https://login.consultant.ru/link/?req=doc&amp;base=RLAW368&amp;n=193511&amp;dst=114411" TargetMode="External"/><Relationship Id="rId22" Type="http://schemas.openxmlformats.org/officeDocument/2006/relationships/hyperlink" Target="https://login.consultant.ru/link/?req=doc&amp;base=RLAW368&amp;n=193511&amp;dst=114675" TargetMode="External"/><Relationship Id="rId27" Type="http://schemas.openxmlformats.org/officeDocument/2006/relationships/hyperlink" Target="https://login.consultant.ru/link/?req=doc&amp;base=RLAW368&amp;n=193511&amp;dst=113790" TargetMode="External"/><Relationship Id="rId30" Type="http://schemas.openxmlformats.org/officeDocument/2006/relationships/hyperlink" Target="https://login.consultant.ru/link/?req=doc&amp;base=RLAW368&amp;n=193511&amp;dst=114901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368&amp;n=193511&amp;dst=1097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3716</Words>
  <Characters>21185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2024-05-31T11:12:00Z</dcterms:created>
  <dcterms:modified xsi:type="dcterms:W3CDTF">2024-05-31T11:13:00Z</dcterms:modified>
</cp:coreProperties>
</file>